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7638" w:rsidRDefault="00B90CD0" w:rsidP="008417DD">
      <w:pPr>
        <w:widowControl/>
        <w:spacing w:line="300" w:lineRule="auto"/>
        <w:jc w:val="center"/>
        <w:rPr>
          <w:rFonts w:ascii="Times New Roman" w:hAnsi="Times New Roman" w:cs="Times New Roman"/>
          <w:b/>
          <w:bCs/>
          <w:sz w:val="24"/>
          <w:szCs w:val="24"/>
        </w:rPr>
      </w:pPr>
      <w:r>
        <w:rPr>
          <w:rFonts w:ascii="Times New Roman" w:hAnsi="Times New Roman" w:cs="Times New Roman"/>
          <w:b/>
          <w:bCs/>
          <w:sz w:val="24"/>
          <w:szCs w:val="24"/>
        </w:rPr>
        <w:t>Appendix</w:t>
      </w:r>
      <w:r w:rsidR="00BA4B09">
        <w:rPr>
          <w:rFonts w:ascii="Times New Roman" w:hAnsi="Times New Roman" w:cs="Times New Roman" w:hint="eastAsia"/>
          <w:b/>
          <w:bCs/>
          <w:sz w:val="24"/>
          <w:szCs w:val="24"/>
        </w:rPr>
        <w:t>:</w:t>
      </w:r>
      <w:r>
        <w:rPr>
          <w:rFonts w:ascii="Times New Roman" w:hAnsi="Times New Roman" w:cs="Times New Roman"/>
          <w:b/>
          <w:bCs/>
          <w:sz w:val="24"/>
          <w:szCs w:val="24"/>
        </w:rPr>
        <w:t xml:space="preserve"> Sensitivity analysis</w:t>
      </w:r>
    </w:p>
    <w:p w:rsidR="000C7638" w:rsidRDefault="00B90CD0">
      <w:pPr>
        <w:spacing w:line="300" w:lineRule="auto"/>
        <w:rPr>
          <w:rFonts w:ascii="Times New Roman" w:hAnsi="Times New Roman" w:cs="Times New Roman"/>
          <w:b/>
          <w:bCs/>
          <w:sz w:val="24"/>
          <w:szCs w:val="24"/>
        </w:rPr>
      </w:pPr>
      <w:r>
        <w:rPr>
          <w:rFonts w:ascii="Times New Roman" w:hAnsi="Times New Roman" w:cs="Times New Roman"/>
          <w:b/>
          <w:bCs/>
          <w:sz w:val="24"/>
          <w:szCs w:val="24"/>
        </w:rPr>
        <w:t>Using variables before their log-transformed</w:t>
      </w:r>
    </w:p>
    <w:p w:rsidR="000C7638" w:rsidRDefault="00B90CD0">
      <w:pPr>
        <w:spacing w:line="30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 xml:space="preserve">We assess </w:t>
      </w:r>
      <w:r>
        <w:rPr>
          <w:rFonts w:ascii="Times New Roman" w:hAnsi="Times New Roman" w:cs="Times New Roman"/>
          <w:sz w:val="24"/>
          <w:szCs w:val="24"/>
        </w:rPr>
        <w:t>whether</w:t>
      </w:r>
      <w:r>
        <w:rPr>
          <w:rFonts w:ascii="Times New Roman" w:hAnsi="Times New Roman" w:cs="Times New Roman" w:hint="eastAsia"/>
          <w:sz w:val="24"/>
          <w:szCs w:val="24"/>
        </w:rPr>
        <w:t xml:space="preserve"> findings in this study are robust </w:t>
      </w:r>
      <w:r>
        <w:rPr>
          <w:rFonts w:ascii="Times New Roman" w:hAnsi="Times New Roman" w:cs="Times New Roman"/>
          <w:sz w:val="24"/>
          <w:szCs w:val="24"/>
        </w:rPr>
        <w:t>when these variables are not log-transformed. Other setting is the same as the original GMM.</w:t>
      </w:r>
      <w:r>
        <w:rPr>
          <w:rFonts w:ascii="Times New Roman" w:hAnsi="Times New Roman" w:cs="Times New Roman" w:hint="eastAsia"/>
          <w:sz w:val="24"/>
          <w:szCs w:val="24"/>
        </w:rPr>
        <w:t xml:space="preserve"> </w:t>
      </w:r>
      <w:r>
        <w:rPr>
          <w:rFonts w:ascii="Times New Roman" w:hAnsi="Times New Roman" w:cs="Times New Roman"/>
          <w:sz w:val="24"/>
          <w:szCs w:val="24"/>
        </w:rPr>
        <w:t>The results are presented in Table 1.</w:t>
      </w:r>
      <w:r w:rsidRPr="009C3B56">
        <w:rPr>
          <w:rFonts w:ascii="Times New Roman" w:hAnsi="Times New Roman" w:cs="Times New Roman"/>
          <w:sz w:val="24"/>
          <w:szCs w:val="24"/>
        </w:rPr>
        <w:t xml:space="preserve"> </w:t>
      </w:r>
      <w:r>
        <w:rPr>
          <w:rFonts w:ascii="Times New Roman" w:hAnsi="Times New Roman" w:cs="Times New Roman"/>
          <w:sz w:val="24"/>
          <w:szCs w:val="24"/>
        </w:rPr>
        <w:t>In general, the signs of all of coefficients in Table 1 are identical to those in primary models. And the significance of coefficie</w:t>
      </w:r>
      <w:bookmarkStart w:id="0" w:name="_GoBack"/>
      <w:bookmarkEnd w:id="0"/>
      <w:r>
        <w:rPr>
          <w:rFonts w:ascii="Times New Roman" w:hAnsi="Times New Roman" w:cs="Times New Roman"/>
          <w:sz w:val="24"/>
          <w:szCs w:val="24"/>
        </w:rPr>
        <w:t>nts</w:t>
      </w:r>
      <w:r>
        <w:rPr>
          <w:rFonts w:ascii="Times New Roman" w:hAnsi="Times New Roman" w:cs="Times New Roman" w:hint="eastAsia"/>
          <w:sz w:val="24"/>
          <w:szCs w:val="24"/>
        </w:rPr>
        <w:t xml:space="preserve"> </w:t>
      </w:r>
      <w:r>
        <w:rPr>
          <w:rFonts w:ascii="Times New Roman" w:hAnsi="Times New Roman" w:cs="Times New Roman"/>
          <w:sz w:val="24"/>
          <w:szCs w:val="24"/>
        </w:rPr>
        <w:t>remain significant, except for OOP/THE and POP65. This could be due to the logarithm of the percentage value is controversial. And in Table1</w:t>
      </w:r>
      <w:r>
        <w:rPr>
          <w:rFonts w:ascii="Times New Roman" w:hAnsi="Times New Roman" w:cs="Times New Roman" w:hint="eastAsia"/>
          <w:sz w:val="24"/>
          <w:szCs w:val="24"/>
        </w:rPr>
        <w:t xml:space="preserve">, </w:t>
      </w:r>
      <w:r>
        <w:rPr>
          <w:rFonts w:ascii="Times New Roman" w:hAnsi="Times New Roman" w:cs="Times New Roman"/>
          <w:sz w:val="24"/>
          <w:szCs w:val="24"/>
        </w:rPr>
        <w:t>almost the whole percentage values are insignificant.</w:t>
      </w:r>
    </w:p>
    <w:p w:rsidR="000C7638" w:rsidRDefault="000C7638">
      <w:pPr>
        <w:spacing w:line="300" w:lineRule="auto"/>
        <w:rPr>
          <w:rFonts w:ascii="Times New Roman" w:hAnsi="Times New Roman" w:cs="Times New Roman"/>
          <w:sz w:val="24"/>
          <w:szCs w:val="24"/>
        </w:rPr>
      </w:pPr>
    </w:p>
    <w:tbl>
      <w:tblPr>
        <w:tblW w:w="7560" w:type="dxa"/>
        <w:jc w:val="center"/>
        <w:tblLayout w:type="fixed"/>
        <w:tblCellMar>
          <w:top w:w="15" w:type="dxa"/>
          <w:left w:w="15" w:type="dxa"/>
          <w:bottom w:w="15" w:type="dxa"/>
          <w:right w:w="15" w:type="dxa"/>
        </w:tblCellMar>
        <w:tblLook w:val="04A0" w:firstRow="1" w:lastRow="0" w:firstColumn="1" w:lastColumn="0" w:noHBand="0" w:noVBand="1"/>
      </w:tblPr>
      <w:tblGrid>
        <w:gridCol w:w="2228"/>
        <w:gridCol w:w="1057"/>
        <w:gridCol w:w="1061"/>
        <w:gridCol w:w="1013"/>
        <w:gridCol w:w="2201"/>
      </w:tblGrid>
      <w:tr w:rsidR="000C7638">
        <w:trPr>
          <w:trHeight w:val="191"/>
          <w:jc w:val="center"/>
        </w:trPr>
        <w:tc>
          <w:tcPr>
            <w:tcW w:w="7560" w:type="dxa"/>
            <w:gridSpan w:val="5"/>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Table1 Panel estimation for GMM</w:t>
            </w:r>
          </w:p>
        </w:tc>
      </w:tr>
      <w:tr w:rsidR="000C7638">
        <w:trPr>
          <w:trHeight w:val="191"/>
          <w:jc w:val="center"/>
        </w:trPr>
        <w:tc>
          <w:tcPr>
            <w:tcW w:w="2228" w:type="dxa"/>
            <w:vMerge w:val="restart"/>
            <w:tcBorders>
              <w:top w:val="single" w:sz="4" w:space="0" w:color="000000"/>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Explanatory variables</w:t>
            </w:r>
          </w:p>
        </w:tc>
        <w:tc>
          <w:tcPr>
            <w:tcW w:w="5332" w:type="dxa"/>
            <w:gridSpan w:val="4"/>
            <w:tcBorders>
              <w:top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Dependent variable: THE per capital </w:t>
            </w:r>
          </w:p>
        </w:tc>
      </w:tr>
      <w:tr w:rsidR="000C7638">
        <w:trPr>
          <w:trHeight w:val="191"/>
          <w:jc w:val="center"/>
        </w:trPr>
        <w:tc>
          <w:tcPr>
            <w:tcW w:w="2228" w:type="dxa"/>
            <w:vMerge/>
            <w:tcBorders>
              <w:top w:val="single" w:sz="4" w:space="0" w:color="000000"/>
              <w:bottom w:val="single" w:sz="4" w:space="0" w:color="000000"/>
            </w:tcBorders>
            <w:vAlign w:val="center"/>
          </w:tcPr>
          <w:p w:rsidR="000C7638" w:rsidRDefault="000C7638">
            <w:pPr>
              <w:widowControl/>
              <w:spacing w:line="300" w:lineRule="auto"/>
              <w:jc w:val="left"/>
              <w:rPr>
                <w:rFonts w:ascii="Times New Roman" w:eastAsia="等线" w:hAnsi="Times New Roman" w:cs="Times New Roman"/>
                <w:color w:val="000000"/>
                <w:kern w:val="0"/>
              </w:rPr>
            </w:pP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Coef</w:t>
            </w:r>
            <w:r>
              <w:rPr>
                <w:rFonts w:ascii="Times New Roman" w:eastAsia="等线" w:hAnsi="Times New Roman" w:cs="Times New Roman" w:hint="eastAsia"/>
                <w:color w:val="000000"/>
                <w:kern w:val="0"/>
              </w:rPr>
              <w:t>.</w:t>
            </w:r>
          </w:p>
        </w:tc>
        <w:tc>
          <w:tcPr>
            <w:tcW w:w="1061"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S. E</w:t>
            </w:r>
            <w:r>
              <w:rPr>
                <w:rFonts w:ascii="Times New Roman" w:eastAsia="等线" w:hAnsi="Times New Roman" w:cs="Times New Roman" w:hint="eastAsia"/>
                <w:color w:val="000000"/>
                <w:kern w:val="0"/>
              </w:rPr>
              <w:t>.</w:t>
            </w:r>
          </w:p>
        </w:tc>
        <w:tc>
          <w:tcPr>
            <w:tcW w:w="1013"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P value</w:t>
            </w:r>
          </w:p>
        </w:tc>
        <w:tc>
          <w:tcPr>
            <w:tcW w:w="2201"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[95% CI]</w:t>
            </w:r>
          </w:p>
        </w:tc>
      </w:tr>
      <w:tr w:rsidR="000C7638">
        <w:trPr>
          <w:trHeight w:val="191"/>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GDP per capital</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0.01</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[ 0.00 0.011]</w:t>
            </w:r>
          </w:p>
        </w:tc>
      </w:tr>
      <w:tr w:rsidR="000C7638">
        <w:trPr>
          <w:trHeight w:val="216"/>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OOP/THE</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-0.81</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1.55</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0.61</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[-3.98 2.36]</w:t>
            </w:r>
          </w:p>
        </w:tc>
      </w:tr>
      <w:tr w:rsidR="000C7638">
        <w:trPr>
          <w:trHeight w:val="191"/>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GHE/GDP</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1.25</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4.62</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0.79</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[-8.17 10.68]</w:t>
            </w:r>
          </w:p>
        </w:tc>
      </w:tr>
      <w:tr w:rsidR="000C7638">
        <w:trPr>
          <w:trHeight w:val="191"/>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POP65</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3.47</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4.06</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0.40</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[-4.8 11.75]</w:t>
            </w:r>
          </w:p>
        </w:tc>
      </w:tr>
      <w:tr w:rsidR="000C7638">
        <w:trPr>
          <w:trHeight w:val="191"/>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MOR</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-6.47</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10.94</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0.56</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[-28.78 15.83]</w:t>
            </w:r>
          </w:p>
        </w:tc>
      </w:tr>
      <w:tr w:rsidR="000C7638">
        <w:trPr>
          <w:trHeight w:val="191"/>
          <w:jc w:val="center"/>
        </w:trPr>
        <w:tc>
          <w:tcPr>
            <w:tcW w:w="222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DIS</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22.59</w:t>
            </w:r>
          </w:p>
        </w:tc>
        <w:tc>
          <w:tcPr>
            <w:tcW w:w="106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8.22</w:t>
            </w:r>
          </w:p>
        </w:tc>
        <w:tc>
          <w:tcPr>
            <w:tcW w:w="101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0.01</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[5.83 39.36]</w:t>
            </w:r>
          </w:p>
        </w:tc>
      </w:tr>
      <w:tr w:rsidR="000C7638">
        <w:trPr>
          <w:trHeight w:val="191"/>
          <w:jc w:val="center"/>
        </w:trPr>
        <w:tc>
          <w:tcPr>
            <w:tcW w:w="2228"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BEDS</w:t>
            </w: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-0.72</w:t>
            </w:r>
          </w:p>
        </w:tc>
        <w:tc>
          <w:tcPr>
            <w:tcW w:w="1061"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0.51</w:t>
            </w:r>
          </w:p>
        </w:tc>
        <w:tc>
          <w:tcPr>
            <w:tcW w:w="1013"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0.17</w:t>
            </w:r>
          </w:p>
        </w:tc>
        <w:tc>
          <w:tcPr>
            <w:tcW w:w="2201"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[-1.77 0.32]</w:t>
            </w:r>
          </w:p>
        </w:tc>
      </w:tr>
      <w:tr w:rsidR="000C7638">
        <w:trPr>
          <w:trHeight w:val="191"/>
          <w:jc w:val="center"/>
        </w:trPr>
        <w:tc>
          <w:tcPr>
            <w:tcW w:w="7560" w:type="dxa"/>
            <w:gridSpan w:val="5"/>
            <w:tcBorders>
              <w:top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Number of observations=217  Number of groups=31</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AR(1) in first differences: z = -2.64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0.008</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AR(2) in first differences: z = -2.04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0.042</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AR(3) in first differences: z = 1.21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0.225</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F(8, 209)= 2194.79    Prob &gt; F = 0.000   </w:t>
            </w:r>
          </w:p>
        </w:tc>
      </w:tr>
      <w:tr w:rsidR="000C7638">
        <w:trPr>
          <w:trHeight w:val="191"/>
          <w:jc w:val="center"/>
        </w:trPr>
        <w:tc>
          <w:tcPr>
            <w:tcW w:w="7560" w:type="dxa"/>
            <w:gridSpan w:val="5"/>
            <w:tcBorders>
              <w:bottom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proofErr w:type="spellStart"/>
            <w:r>
              <w:rPr>
                <w:rFonts w:ascii="Times New Roman" w:eastAsia="等线" w:hAnsi="Times New Roman" w:cs="Times New Roman"/>
                <w:color w:val="000000"/>
                <w:kern w:val="0"/>
              </w:rPr>
              <w:t>Sargan</w:t>
            </w:r>
            <w:proofErr w:type="spellEnd"/>
            <w:r>
              <w:rPr>
                <w:rFonts w:ascii="Times New Roman" w:eastAsia="等线" w:hAnsi="Times New Roman" w:cs="Times New Roman"/>
                <w:color w:val="000000"/>
                <w:kern w:val="0"/>
              </w:rPr>
              <w:t xml:space="preserve"> test of </w:t>
            </w:r>
            <w:proofErr w:type="spellStart"/>
            <w:r>
              <w:rPr>
                <w:rFonts w:ascii="Times New Roman" w:eastAsia="等线" w:hAnsi="Times New Roman" w:cs="Times New Roman"/>
                <w:color w:val="000000"/>
                <w:kern w:val="0"/>
              </w:rPr>
              <w:t>overid</w:t>
            </w:r>
            <w:proofErr w:type="spellEnd"/>
            <w:r>
              <w:rPr>
                <w:rFonts w:ascii="Times New Roman" w:eastAsia="等线" w:hAnsi="Times New Roman" w:cs="Times New Roman"/>
                <w:color w:val="000000"/>
                <w:kern w:val="0"/>
              </w:rPr>
              <w:t>. restrictions: chi2(6) =11.68  Prob &gt; chi2 =0.070</w:t>
            </w:r>
          </w:p>
        </w:tc>
      </w:tr>
    </w:tbl>
    <w:p w:rsidR="000C7638" w:rsidRDefault="000C7638">
      <w:pPr>
        <w:spacing w:line="300" w:lineRule="auto"/>
        <w:rPr>
          <w:rFonts w:ascii="Times New Roman" w:hAnsi="Times New Roman" w:cs="Times New Roman"/>
          <w:sz w:val="24"/>
          <w:szCs w:val="24"/>
        </w:rPr>
      </w:pPr>
    </w:p>
    <w:p w:rsidR="000C7638" w:rsidRDefault="00B90CD0">
      <w:pPr>
        <w:spacing w:line="300" w:lineRule="auto"/>
        <w:rPr>
          <w:rFonts w:ascii="Times New Roman" w:hAnsi="Times New Roman" w:cs="Times New Roman"/>
          <w:b/>
          <w:bCs/>
          <w:sz w:val="24"/>
          <w:szCs w:val="24"/>
        </w:rPr>
      </w:pPr>
      <w:r>
        <w:rPr>
          <w:rFonts w:ascii="Times New Roman" w:hAnsi="Times New Roman" w:cs="Times New Roman"/>
          <w:b/>
          <w:bCs/>
          <w:sz w:val="24"/>
          <w:szCs w:val="24"/>
        </w:rPr>
        <w:t>Changing the instrument variables</w:t>
      </w:r>
    </w:p>
    <w:p w:rsidR="000C7638" w:rsidRDefault="00B90CD0">
      <w:pPr>
        <w:spacing w:line="300" w:lineRule="auto"/>
        <w:ind w:firstLineChars="150" w:firstLine="360"/>
        <w:rPr>
          <w:rFonts w:ascii="Times New Roman" w:hAnsi="Times New Roman" w:cs="Times New Roman"/>
          <w:sz w:val="24"/>
          <w:szCs w:val="24"/>
        </w:rPr>
      </w:pPr>
      <w:r>
        <w:rPr>
          <w:rFonts w:ascii="Times New Roman" w:hAnsi="Times New Roman" w:cs="Times New Roman"/>
          <w:sz w:val="24"/>
          <w:szCs w:val="24"/>
        </w:rPr>
        <w:t xml:space="preserve">In the original model, we regard the POP65 and mortality as instrumental variables. For demographic factors are usually correlated with THE through economic variables. Followed by </w:t>
      </w:r>
      <w:proofErr w:type="spellStart"/>
      <w:r>
        <w:rPr>
          <w:rFonts w:ascii="Times New Roman" w:hAnsi="Times New Roman" w:cs="Times New Roman"/>
          <w:sz w:val="24"/>
          <w:szCs w:val="24"/>
        </w:rPr>
        <w:t>Younsi</w:t>
      </w:r>
      <w:proofErr w:type="spellEnd"/>
      <w:r>
        <w:rPr>
          <w:rFonts w:ascii="Times New Roman" w:hAnsi="Times New Roman" w:cs="Times New Roman"/>
          <w:sz w:val="24"/>
          <w:szCs w:val="24"/>
        </w:rPr>
        <w:fldChar w:fldCharType="begin">
          <w:fldData xml:space="preserve">PEVuZE5vdGU+PENpdGU+PEF1dGhvcj5Zb3Vuc2k8L0F1dGhvcj48WWVhcj4yMDE2PC9ZZWFyPjxS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</w:fldData>
        </w:fldChar>
      </w:r>
      <w:r w:rsidR="00422798">
        <w:rPr>
          <w:rFonts w:ascii="Times New Roman" w:hAnsi="Times New Roman" w:cs="Times New Roman"/>
          <w:sz w:val="24"/>
          <w:szCs w:val="24"/>
        </w:rPr>
        <w:instrText xml:space="preserve"> ADDIN EN.CITE </w:instrText>
      </w:r>
      <w:r w:rsidR="00422798">
        <w:rPr>
          <w:rFonts w:ascii="Times New Roman" w:hAnsi="Times New Roman" w:cs="Times New Roman"/>
          <w:sz w:val="24"/>
          <w:szCs w:val="24"/>
        </w:rPr>
        <w:fldChar w:fldCharType="begin">
          <w:fldData xml:space="preserve">PEVuZE5vdGU+PENpdGU+PEF1dGhvcj5Zb3Vuc2k8L0F1dGhvcj48WWVhcj4yMDE2PC9ZZWFyPjxS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</w:fldData>
        </w:fldChar>
      </w:r>
      <w:r w:rsidR="00422798">
        <w:rPr>
          <w:rFonts w:ascii="Times New Roman" w:hAnsi="Times New Roman" w:cs="Times New Roman"/>
          <w:sz w:val="24"/>
          <w:szCs w:val="24"/>
        </w:rPr>
        <w:instrText xml:space="preserve"> ADDIN EN.CITE.DATA </w:instrText>
      </w:r>
      <w:r w:rsidR="00422798">
        <w:rPr>
          <w:rFonts w:ascii="Times New Roman" w:hAnsi="Times New Roman" w:cs="Times New Roman"/>
          <w:sz w:val="24"/>
          <w:szCs w:val="24"/>
        </w:rPr>
      </w:r>
      <w:r w:rsidR="00422798">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422798">
        <w:rPr>
          <w:rFonts w:ascii="Times New Roman" w:hAnsi="Times New Roman" w:cs="Times New Roman"/>
          <w:noProof/>
          <w:sz w:val="24"/>
          <w:szCs w:val="24"/>
        </w:rPr>
        <w:t>(Younsi, Chakroun, &amp; Nafla, 2016)</w:t>
      </w:r>
      <w:r>
        <w:rPr>
          <w:rFonts w:ascii="Times New Roman" w:hAnsi="Times New Roman" w:cs="Times New Roman"/>
          <w:sz w:val="24"/>
          <w:szCs w:val="24"/>
        </w:rPr>
        <w:fldChar w:fldCharType="end"/>
      </w:r>
      <w:r>
        <w:rPr>
          <w:rFonts w:ascii="Times New Roman" w:hAnsi="Times New Roman" w:cs="Times New Roman"/>
          <w:sz w:val="24"/>
          <w:szCs w:val="24"/>
        </w:rPr>
        <w:t>, GE as a share of GDP is also included as an instrumental variable. As shown in Table 2. Though the regression result concluded the same signs between two models, only two coefficients are statistical significant with a p value approximately to 0.05. It implied that this instrumental variables setting may be not proper and thus requires further investigation</w:t>
      </w:r>
      <w:r>
        <w:rPr>
          <w:rFonts w:ascii="Times New Roman" w:hAnsi="Times New Roman" w:cs="Times New Roman" w:hint="eastAsia"/>
          <w:sz w:val="24"/>
          <w:szCs w:val="24"/>
        </w:rPr>
        <w:t xml:space="preserve">. </w:t>
      </w:r>
      <w:r>
        <w:rPr>
          <w:rFonts w:ascii="Times New Roman" w:hAnsi="Times New Roman" w:cs="Times New Roman"/>
          <w:sz w:val="24"/>
          <w:szCs w:val="24"/>
        </w:rPr>
        <w:t>At least, it proved the signs is robust.</w:t>
      </w:r>
    </w:p>
    <w:p w:rsidR="000C7638" w:rsidRDefault="000C7638">
      <w:pPr>
        <w:spacing w:line="300" w:lineRule="auto"/>
        <w:rPr>
          <w:rFonts w:ascii="Times New Roman" w:hAnsi="Times New Roman" w:cs="Times New Roman"/>
          <w:sz w:val="24"/>
          <w:szCs w:val="24"/>
        </w:rPr>
      </w:pPr>
    </w:p>
    <w:tbl>
      <w:tblPr>
        <w:tblW w:w="7560" w:type="dxa"/>
        <w:jc w:val="center"/>
        <w:tblLayout w:type="fixed"/>
        <w:tblCellMar>
          <w:top w:w="15" w:type="dxa"/>
          <w:left w:w="15" w:type="dxa"/>
          <w:bottom w:w="15" w:type="dxa"/>
          <w:right w:w="15" w:type="dxa"/>
        </w:tblCellMar>
        <w:tblLook w:val="04A0" w:firstRow="1" w:lastRow="0" w:firstColumn="1" w:lastColumn="0" w:noHBand="0" w:noVBand="1"/>
      </w:tblPr>
      <w:tblGrid>
        <w:gridCol w:w="2230"/>
        <w:gridCol w:w="1057"/>
        <w:gridCol w:w="1054"/>
        <w:gridCol w:w="1015"/>
        <w:gridCol w:w="2204"/>
      </w:tblGrid>
      <w:tr w:rsidR="000C7638">
        <w:trPr>
          <w:trHeight w:val="191"/>
          <w:jc w:val="center"/>
        </w:trPr>
        <w:tc>
          <w:tcPr>
            <w:tcW w:w="7560" w:type="dxa"/>
            <w:gridSpan w:val="5"/>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Table2 Panel estimation for GMM</w:t>
            </w:r>
          </w:p>
        </w:tc>
      </w:tr>
      <w:tr w:rsidR="000C7638">
        <w:trPr>
          <w:trHeight w:val="191"/>
          <w:jc w:val="center"/>
        </w:trPr>
        <w:tc>
          <w:tcPr>
            <w:tcW w:w="2230" w:type="dxa"/>
            <w:vMerge w:val="restart"/>
            <w:tcBorders>
              <w:top w:val="single" w:sz="4" w:space="0" w:color="000000"/>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Explanatory variables</w:t>
            </w:r>
          </w:p>
        </w:tc>
        <w:tc>
          <w:tcPr>
            <w:tcW w:w="5330" w:type="dxa"/>
            <w:gridSpan w:val="4"/>
            <w:tcBorders>
              <w:top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Dependent variable: ln THE per capital </w:t>
            </w:r>
          </w:p>
        </w:tc>
      </w:tr>
      <w:tr w:rsidR="000C7638">
        <w:trPr>
          <w:trHeight w:val="191"/>
          <w:jc w:val="center"/>
        </w:trPr>
        <w:tc>
          <w:tcPr>
            <w:tcW w:w="2230" w:type="dxa"/>
            <w:vMerge/>
            <w:tcBorders>
              <w:top w:val="single" w:sz="4" w:space="0" w:color="000000"/>
              <w:bottom w:val="single" w:sz="4" w:space="0" w:color="000000"/>
            </w:tcBorders>
            <w:vAlign w:val="center"/>
          </w:tcPr>
          <w:p w:rsidR="000C7638" w:rsidRDefault="000C7638">
            <w:pPr>
              <w:widowControl/>
              <w:spacing w:line="300" w:lineRule="auto"/>
              <w:jc w:val="left"/>
              <w:rPr>
                <w:rFonts w:ascii="Times New Roman" w:eastAsia="等线" w:hAnsi="Times New Roman" w:cs="Times New Roman"/>
                <w:color w:val="000000"/>
                <w:kern w:val="0"/>
              </w:rPr>
            </w:pP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Coe</w:t>
            </w:r>
            <w:r>
              <w:rPr>
                <w:rFonts w:ascii="Times New Roman" w:eastAsia="等线" w:hAnsi="Times New Roman" w:cs="Times New Roman" w:hint="eastAsia"/>
                <w:color w:val="000000"/>
                <w:kern w:val="0"/>
              </w:rPr>
              <w:t>f.</w:t>
            </w:r>
          </w:p>
        </w:tc>
        <w:tc>
          <w:tcPr>
            <w:tcW w:w="1054"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S. E</w:t>
            </w:r>
            <w:r>
              <w:rPr>
                <w:rFonts w:ascii="Times New Roman" w:eastAsia="等线" w:hAnsi="Times New Roman" w:cs="Times New Roman" w:hint="eastAsia"/>
                <w:color w:val="000000"/>
                <w:kern w:val="0"/>
              </w:rPr>
              <w:t>.</w:t>
            </w:r>
          </w:p>
        </w:tc>
        <w:tc>
          <w:tcPr>
            <w:tcW w:w="1015"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P value</w:t>
            </w:r>
          </w:p>
        </w:tc>
        <w:tc>
          <w:tcPr>
            <w:tcW w:w="2204"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[95% CI]</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GDP per capital</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0.01</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0.05</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 0.011]</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In OOP/THE</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-0.46</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1.10</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0.68</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[-2.69 1.78]</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In GHE/GDP </w:t>
            </w:r>
            <w:r>
              <w:rPr>
                <w:rFonts w:ascii="Times New Roman" w:eastAsia="等线" w:hAnsi="Times New Roman" w:cs="Times New Roman"/>
                <w:color w:val="000000"/>
                <w:kern w:val="0"/>
                <w:vertAlign w:val="superscript"/>
              </w:rPr>
              <w:t>a</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1.48</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1.97</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0.46</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[-2.54 5.51]</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In POP65 </w:t>
            </w:r>
            <w:r>
              <w:rPr>
                <w:rFonts w:ascii="Times New Roman" w:eastAsia="等线" w:hAnsi="Times New Roman" w:cs="Times New Roman"/>
                <w:color w:val="000000"/>
                <w:kern w:val="0"/>
                <w:vertAlign w:val="superscript"/>
              </w:rPr>
              <w:t>a</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2.60</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3.43</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0.45</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[-4.39 9.5]</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In MOR </w:t>
            </w:r>
            <w:r>
              <w:rPr>
                <w:rFonts w:ascii="Times New Roman" w:eastAsia="等线" w:hAnsi="Times New Roman" w:cs="Times New Roman"/>
                <w:color w:val="000000"/>
                <w:kern w:val="0"/>
                <w:vertAlign w:val="superscript"/>
              </w:rPr>
              <w:t>a</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-6.12</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6.60</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0.36</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[-19.59 7.35]</w:t>
            </w:r>
          </w:p>
        </w:tc>
      </w:tr>
      <w:tr w:rsidR="000C7638">
        <w:trPr>
          <w:trHeight w:val="191"/>
          <w:jc w:val="center"/>
        </w:trPr>
        <w:tc>
          <w:tcPr>
            <w:tcW w:w="2230"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DIS</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19.66</w:t>
            </w:r>
          </w:p>
        </w:tc>
        <w:tc>
          <w:tcPr>
            <w:tcW w:w="105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8.44</w:t>
            </w:r>
          </w:p>
        </w:tc>
        <w:tc>
          <w:tcPr>
            <w:tcW w:w="10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0.03</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[2.44 36.87]</w:t>
            </w:r>
          </w:p>
        </w:tc>
      </w:tr>
      <w:tr w:rsidR="000C7638">
        <w:trPr>
          <w:trHeight w:val="191"/>
          <w:jc w:val="center"/>
        </w:trPr>
        <w:tc>
          <w:tcPr>
            <w:tcW w:w="2230"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BEDS</w:t>
            </w: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-0.75</w:t>
            </w:r>
          </w:p>
        </w:tc>
        <w:tc>
          <w:tcPr>
            <w:tcW w:w="1054"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0.57</w:t>
            </w:r>
          </w:p>
        </w:tc>
        <w:tc>
          <w:tcPr>
            <w:tcW w:w="1015"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0.20</w:t>
            </w:r>
          </w:p>
        </w:tc>
        <w:tc>
          <w:tcPr>
            <w:tcW w:w="2204"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[-1.92 0.41]</w:t>
            </w:r>
          </w:p>
        </w:tc>
      </w:tr>
      <w:tr w:rsidR="000C7638">
        <w:trPr>
          <w:trHeight w:val="191"/>
          <w:jc w:val="center"/>
        </w:trPr>
        <w:tc>
          <w:tcPr>
            <w:tcW w:w="7560" w:type="dxa"/>
            <w:gridSpan w:val="5"/>
            <w:tcBorders>
              <w:top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Number of observations=217  Number of groups=31</w:t>
            </w:r>
          </w:p>
        </w:tc>
      </w:tr>
      <w:tr w:rsidR="000C7638">
        <w:trPr>
          <w:trHeight w:val="191"/>
          <w:jc w:val="center"/>
        </w:trPr>
        <w:tc>
          <w:tcPr>
            <w:tcW w:w="7560" w:type="dxa"/>
            <w:gridSpan w:val="5"/>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AR(1) in first differences: z = -2.66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0.008</w:t>
            </w:r>
          </w:p>
        </w:tc>
      </w:tr>
      <w:tr w:rsidR="000C7638">
        <w:trPr>
          <w:trHeight w:val="191"/>
          <w:jc w:val="center"/>
        </w:trPr>
        <w:tc>
          <w:tcPr>
            <w:tcW w:w="7560" w:type="dxa"/>
            <w:gridSpan w:val="5"/>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AR(2) in first differences: z = -2.18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0.029</w:t>
            </w:r>
          </w:p>
        </w:tc>
      </w:tr>
      <w:tr w:rsidR="000C7638">
        <w:trPr>
          <w:trHeight w:val="191"/>
          <w:jc w:val="center"/>
        </w:trPr>
        <w:tc>
          <w:tcPr>
            <w:tcW w:w="7560" w:type="dxa"/>
            <w:gridSpan w:val="5"/>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Arellano-Bond test for AR(3) in first differences: z = 1.19  </w:t>
            </w:r>
            <w:proofErr w:type="spellStart"/>
            <w:r>
              <w:rPr>
                <w:rFonts w:ascii="Times New Roman" w:eastAsia="等线" w:hAnsi="Times New Roman" w:cs="Times New Roman"/>
                <w:color w:val="000000"/>
                <w:kern w:val="0"/>
              </w:rPr>
              <w:t>Pr</w:t>
            </w:r>
            <w:proofErr w:type="spellEnd"/>
            <w:r>
              <w:rPr>
                <w:rFonts w:ascii="Times New Roman" w:eastAsia="等线" w:hAnsi="Times New Roman" w:cs="Times New Roman"/>
                <w:color w:val="000000"/>
                <w:kern w:val="0"/>
              </w:rPr>
              <w:t xml:space="preserve"> &gt; z = 0.234</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F(8, 209)=2568.63    Prob &gt; F = 0.000   </w:t>
            </w:r>
          </w:p>
        </w:tc>
      </w:tr>
      <w:tr w:rsidR="000C7638">
        <w:trPr>
          <w:trHeight w:val="191"/>
          <w:jc w:val="center"/>
        </w:trPr>
        <w:tc>
          <w:tcPr>
            <w:tcW w:w="7560" w:type="dxa"/>
            <w:gridSpan w:val="5"/>
            <w:tcBorders>
              <w:bottom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proofErr w:type="spellStart"/>
            <w:r>
              <w:rPr>
                <w:rFonts w:ascii="Times New Roman" w:eastAsia="等线" w:hAnsi="Times New Roman" w:cs="Times New Roman"/>
                <w:color w:val="000000"/>
                <w:kern w:val="0"/>
              </w:rPr>
              <w:t>Sargan</w:t>
            </w:r>
            <w:proofErr w:type="spellEnd"/>
            <w:r>
              <w:rPr>
                <w:rFonts w:ascii="Times New Roman" w:eastAsia="等线" w:hAnsi="Times New Roman" w:cs="Times New Roman"/>
                <w:color w:val="000000"/>
                <w:kern w:val="0"/>
              </w:rPr>
              <w:t xml:space="preserve"> test of </w:t>
            </w:r>
            <w:proofErr w:type="spellStart"/>
            <w:r>
              <w:rPr>
                <w:rFonts w:ascii="Times New Roman" w:eastAsia="等线" w:hAnsi="Times New Roman" w:cs="Times New Roman"/>
                <w:color w:val="000000"/>
                <w:kern w:val="0"/>
              </w:rPr>
              <w:t>overid</w:t>
            </w:r>
            <w:proofErr w:type="spellEnd"/>
            <w:r>
              <w:rPr>
                <w:rFonts w:ascii="Times New Roman" w:eastAsia="等线" w:hAnsi="Times New Roman" w:cs="Times New Roman"/>
                <w:color w:val="000000"/>
                <w:kern w:val="0"/>
              </w:rPr>
              <w:t>. restrictions: chi2(5) = 10.72  Prob &gt; chi2 = 0.057</w:t>
            </w:r>
          </w:p>
        </w:tc>
      </w:tr>
      <w:tr w:rsidR="000C7638">
        <w:trPr>
          <w:trHeight w:val="191"/>
          <w:jc w:val="center"/>
        </w:trPr>
        <w:tc>
          <w:tcPr>
            <w:tcW w:w="756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proofErr w:type="spellStart"/>
            <w:r>
              <w:rPr>
                <w:rFonts w:ascii="Times New Roman" w:eastAsia="等线" w:hAnsi="Times New Roman" w:cs="Times New Roman"/>
                <w:color w:val="000000"/>
                <w:kern w:val="0"/>
              </w:rPr>
              <w:t>a</w:t>
            </w:r>
            <w:proofErr w:type="spellEnd"/>
            <w:r>
              <w:rPr>
                <w:rFonts w:ascii="Times New Roman" w:eastAsia="等线" w:hAnsi="Times New Roman" w:cs="Times New Roman"/>
                <w:color w:val="000000"/>
                <w:kern w:val="0"/>
              </w:rPr>
              <w:t xml:space="preserve"> They are instrumental variables</w:t>
            </w:r>
          </w:p>
        </w:tc>
      </w:tr>
    </w:tbl>
    <w:p w:rsidR="000C7638" w:rsidRDefault="000C7638">
      <w:pPr>
        <w:spacing w:line="300" w:lineRule="auto"/>
        <w:jc w:val="center"/>
        <w:rPr>
          <w:rFonts w:ascii="Times New Roman" w:hAnsi="Times New Roman" w:cs="Times New Roman"/>
          <w:sz w:val="24"/>
          <w:szCs w:val="24"/>
        </w:rPr>
      </w:pPr>
    </w:p>
    <w:p w:rsidR="000C7638" w:rsidRDefault="00B90CD0">
      <w:pPr>
        <w:spacing w:line="300" w:lineRule="auto"/>
        <w:rPr>
          <w:rFonts w:ascii="Times New Roman" w:hAnsi="Times New Roman" w:cs="Times New Roman"/>
          <w:b/>
          <w:bCs/>
          <w:sz w:val="24"/>
          <w:szCs w:val="24"/>
        </w:rPr>
      </w:pPr>
      <w:r>
        <w:rPr>
          <w:rFonts w:ascii="Times New Roman" w:hAnsi="Times New Roman" w:cs="Times New Roman"/>
          <w:b/>
          <w:bCs/>
          <w:sz w:val="24"/>
          <w:szCs w:val="24"/>
        </w:rPr>
        <w:t>Employing a ﬁxed-effect model(FEM).</w:t>
      </w:r>
    </w:p>
    <w:p w:rsidR="000C7638" w:rsidRDefault="00B90CD0">
      <w:pPr>
        <w:spacing w:line="300" w:lineRule="auto"/>
        <w:ind w:firstLineChars="100" w:firstLine="240"/>
        <w:rPr>
          <w:rFonts w:ascii="Times New Roman" w:hAnsi="Times New Roman" w:cs="Times New Roman"/>
          <w:sz w:val="24"/>
          <w:szCs w:val="24"/>
        </w:rPr>
      </w:pPr>
      <w:r>
        <w:rPr>
          <w:rFonts w:ascii="Times New Roman" w:hAnsi="Times New Roman" w:cs="Times New Roman"/>
          <w:sz w:val="24"/>
          <w:szCs w:val="24"/>
        </w:rPr>
        <w:t>W</w:t>
      </w:r>
      <w:r>
        <w:rPr>
          <w:rFonts w:ascii="Times New Roman" w:hAnsi="Times New Roman" w:cs="Times New Roman" w:hint="eastAsia"/>
          <w:sz w:val="24"/>
          <w:szCs w:val="24"/>
        </w:rPr>
        <w:t>e assess</w:t>
      </w:r>
      <w:r>
        <w:rPr>
          <w:rFonts w:ascii="Times New Roman" w:hAnsi="Times New Roman" w:cs="Times New Roman"/>
          <w:sz w:val="24"/>
          <w:szCs w:val="24"/>
        </w:rPr>
        <w:t xml:space="preserve"> whether the finding</w:t>
      </w:r>
      <w:r>
        <w:rPr>
          <w:rFonts w:ascii="Times New Roman" w:hAnsi="Times New Roman" w:cs="Times New Roman" w:hint="eastAsia"/>
          <w:sz w:val="24"/>
          <w:szCs w:val="24"/>
        </w:rPr>
        <w:t>s is robust to various methods</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sz w:val="24"/>
          <w:szCs w:val="24"/>
        </w:rPr>
        <w:t>For GMM has always been a robust analysis of FEM. And we used FEM to test the GMM. Tables 3 showed the results of FEM. For the sign of variables, only the rate of infectious disease in not identical with the original model but with no statistical significance. As for the significance of other variables, GHE/GDP is highly related with PTHE which is consistent with what we expected. For FME which reserves the constant term by default and solves the endogenous bias hardly, we could not ask for complete consistence with the GMM. The main results that GDP per capital, OOP/THE and POP65 is positive related with independent variables, and the mortality as well as the number of beds per 10,000 population with no significance is identical with the original model.</w:t>
      </w:r>
    </w:p>
    <w:p w:rsidR="000C7638" w:rsidRDefault="000C7638">
      <w:pPr>
        <w:spacing w:line="300" w:lineRule="auto"/>
        <w:rPr>
          <w:rFonts w:ascii="Times New Roman" w:hAnsi="Times New Roman" w:cs="Times New Roman"/>
          <w:sz w:val="24"/>
          <w:szCs w:val="24"/>
        </w:rPr>
      </w:pPr>
    </w:p>
    <w:p w:rsidR="008417DD" w:rsidRDefault="008417DD">
      <w:pPr>
        <w:spacing w:line="300" w:lineRule="auto"/>
        <w:rPr>
          <w:rFonts w:ascii="Times New Roman" w:hAnsi="Times New Roman" w:cs="Times New Roman"/>
          <w:sz w:val="24"/>
          <w:szCs w:val="24"/>
        </w:rPr>
      </w:pPr>
    </w:p>
    <w:p w:rsidR="008417DD" w:rsidRDefault="008417DD">
      <w:pPr>
        <w:spacing w:line="300" w:lineRule="auto"/>
        <w:rPr>
          <w:rFonts w:ascii="Times New Roman" w:hAnsi="Times New Roman" w:cs="Times New Roman"/>
          <w:sz w:val="24"/>
          <w:szCs w:val="24"/>
        </w:rPr>
      </w:pPr>
    </w:p>
    <w:tbl>
      <w:tblPr>
        <w:tblW w:w="8050" w:type="dxa"/>
        <w:jc w:val="center"/>
        <w:tblLayout w:type="fixed"/>
        <w:tblCellMar>
          <w:top w:w="15" w:type="dxa"/>
          <w:left w:w="15" w:type="dxa"/>
          <w:bottom w:w="15" w:type="dxa"/>
          <w:right w:w="15" w:type="dxa"/>
        </w:tblCellMar>
        <w:tblLook w:val="04A0" w:firstRow="1" w:lastRow="0" w:firstColumn="1" w:lastColumn="0" w:noHBand="0" w:noVBand="1"/>
      </w:tblPr>
      <w:tblGrid>
        <w:gridCol w:w="2315"/>
        <w:gridCol w:w="1057"/>
        <w:gridCol w:w="1037"/>
        <w:gridCol w:w="1038"/>
        <w:gridCol w:w="2603"/>
      </w:tblGrid>
      <w:tr w:rsidR="000C7638">
        <w:trPr>
          <w:trHeight w:val="191"/>
          <w:jc w:val="center"/>
        </w:trPr>
        <w:tc>
          <w:tcPr>
            <w:tcW w:w="8050" w:type="dxa"/>
            <w:gridSpan w:val="5"/>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sz w:val="24"/>
                <w:szCs w:val="24"/>
              </w:rPr>
            </w:pPr>
            <w:r>
              <w:rPr>
                <w:rFonts w:ascii="Times New Roman" w:eastAsia="等线" w:hAnsi="Times New Roman" w:cs="Times New Roman"/>
                <w:color w:val="000000"/>
                <w:kern w:val="0"/>
                <w:sz w:val="24"/>
                <w:szCs w:val="24"/>
              </w:rPr>
              <w:t>Table3 Panel estimation for FEM</w:t>
            </w:r>
          </w:p>
        </w:tc>
      </w:tr>
      <w:tr w:rsidR="000C7638">
        <w:trPr>
          <w:trHeight w:val="191"/>
          <w:jc w:val="center"/>
        </w:trPr>
        <w:tc>
          <w:tcPr>
            <w:tcW w:w="2315" w:type="dxa"/>
            <w:vMerge w:val="restart"/>
            <w:tcBorders>
              <w:top w:val="single" w:sz="4" w:space="0" w:color="000000"/>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Explanatory variables</w:t>
            </w:r>
          </w:p>
        </w:tc>
        <w:tc>
          <w:tcPr>
            <w:tcW w:w="5735" w:type="dxa"/>
            <w:gridSpan w:val="4"/>
            <w:tcBorders>
              <w:top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Dependent variable: ln THE per capital </w:t>
            </w:r>
          </w:p>
        </w:tc>
      </w:tr>
      <w:tr w:rsidR="000C7638">
        <w:trPr>
          <w:trHeight w:val="191"/>
          <w:jc w:val="center"/>
        </w:trPr>
        <w:tc>
          <w:tcPr>
            <w:tcW w:w="2315" w:type="dxa"/>
            <w:vMerge/>
            <w:tcBorders>
              <w:top w:val="single" w:sz="4" w:space="0" w:color="000000"/>
              <w:bottom w:val="single" w:sz="4" w:space="0" w:color="000000"/>
            </w:tcBorders>
            <w:vAlign w:val="center"/>
          </w:tcPr>
          <w:p w:rsidR="000C7638" w:rsidRDefault="000C7638">
            <w:pPr>
              <w:widowControl/>
              <w:spacing w:line="300" w:lineRule="auto"/>
              <w:jc w:val="left"/>
              <w:rPr>
                <w:rFonts w:ascii="Times New Roman" w:eastAsia="等线" w:hAnsi="Times New Roman" w:cs="Times New Roman"/>
                <w:color w:val="000000"/>
                <w:kern w:val="0"/>
              </w:rPr>
            </w:pP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Coef</w:t>
            </w:r>
            <w:r>
              <w:rPr>
                <w:rFonts w:ascii="Times New Roman" w:eastAsia="等线" w:hAnsi="Times New Roman" w:cs="Times New Roman" w:hint="eastAsia"/>
                <w:color w:val="000000"/>
                <w:kern w:val="0"/>
              </w:rPr>
              <w:t>.</w:t>
            </w:r>
          </w:p>
        </w:tc>
        <w:tc>
          <w:tcPr>
            <w:tcW w:w="103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S. E</w:t>
            </w:r>
            <w:r>
              <w:rPr>
                <w:rFonts w:ascii="Times New Roman" w:eastAsia="等线" w:hAnsi="Times New Roman" w:cs="Times New Roman" w:hint="eastAsia"/>
                <w:color w:val="000000"/>
                <w:kern w:val="0"/>
              </w:rPr>
              <w:t>.</w:t>
            </w:r>
          </w:p>
        </w:tc>
        <w:tc>
          <w:tcPr>
            <w:tcW w:w="1038"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P value</w:t>
            </w:r>
          </w:p>
        </w:tc>
        <w:tc>
          <w:tcPr>
            <w:tcW w:w="2603"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[95% </w:t>
            </w:r>
            <w:r>
              <w:rPr>
                <w:rFonts w:ascii="Times New Roman" w:eastAsia="等线" w:hAnsi="Times New Roman" w:cs="Times New Roman" w:hint="eastAsia"/>
                <w:color w:val="000000"/>
                <w:kern w:val="0"/>
              </w:rPr>
              <w:t>C</w:t>
            </w:r>
            <w:r>
              <w:rPr>
                <w:rFonts w:ascii="Times New Roman" w:eastAsia="等线" w:hAnsi="Times New Roman" w:cs="Times New Roman"/>
                <w:color w:val="000000"/>
                <w:kern w:val="0"/>
              </w:rPr>
              <w:t>I]</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GDP per capital</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1.03</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0.06</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[0.92 1.14]</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In OOP/THE</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-0.34</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0.10</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 [-0.53 -0.14]</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GHE/GDP</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0.48</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0.06</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[0.37 0.60]</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POP65</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0.40</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0.08</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[0.25 0.56]</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MOR</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-0.20</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0.13</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0.13</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[-0.47 0.06]</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DIS</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-0.06</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0.07</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[-0.13 0.01]</w:t>
            </w:r>
          </w:p>
        </w:tc>
      </w:tr>
      <w:tr w:rsidR="000C7638">
        <w:trPr>
          <w:trHeight w:val="191"/>
          <w:jc w:val="center"/>
        </w:trPr>
        <w:tc>
          <w:tcPr>
            <w:tcW w:w="2315"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In BEDS</w:t>
            </w:r>
          </w:p>
        </w:tc>
        <w:tc>
          <w:tcPr>
            <w:tcW w:w="105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-0.08</w:t>
            </w:r>
          </w:p>
        </w:tc>
        <w:tc>
          <w:tcPr>
            <w:tcW w:w="1037"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0.07</w:t>
            </w:r>
          </w:p>
        </w:tc>
        <w:tc>
          <w:tcPr>
            <w:tcW w:w="1038"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0.26</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[-0.21 0.06]</w:t>
            </w:r>
          </w:p>
        </w:tc>
      </w:tr>
      <w:tr w:rsidR="000C7638">
        <w:trPr>
          <w:trHeight w:val="191"/>
          <w:jc w:val="center"/>
        </w:trPr>
        <w:tc>
          <w:tcPr>
            <w:tcW w:w="2315"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constant</w:t>
            </w:r>
          </w:p>
        </w:tc>
        <w:tc>
          <w:tcPr>
            <w:tcW w:w="105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-3.14</w:t>
            </w:r>
          </w:p>
        </w:tc>
        <w:tc>
          <w:tcPr>
            <w:tcW w:w="1037"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0.62</w:t>
            </w:r>
          </w:p>
        </w:tc>
        <w:tc>
          <w:tcPr>
            <w:tcW w:w="1038" w:type="dxa"/>
            <w:tcBorders>
              <w:bottom w:val="single" w:sz="4" w:space="0" w:color="000000"/>
            </w:tcBorders>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0.00</w:t>
            </w:r>
          </w:p>
        </w:tc>
        <w:tc>
          <w:tcPr>
            <w:tcW w:w="2603" w:type="dxa"/>
            <w:vAlign w:val="center"/>
          </w:tcPr>
          <w:p w:rsidR="000C7638" w:rsidRDefault="00B90CD0">
            <w:pPr>
              <w:widowControl/>
              <w:spacing w:line="300" w:lineRule="auto"/>
              <w:jc w:val="center"/>
              <w:rPr>
                <w:rFonts w:ascii="Times New Roman" w:eastAsia="等线" w:hAnsi="Times New Roman" w:cs="Times New Roman"/>
                <w:color w:val="000000"/>
                <w:kern w:val="0"/>
              </w:rPr>
            </w:pPr>
            <w:r>
              <w:rPr>
                <w:rFonts w:ascii="Times New Roman" w:eastAsia="等线" w:hAnsi="Times New Roman" w:cs="Times New Roman"/>
                <w:color w:val="000000"/>
                <w:kern w:val="0"/>
              </w:rPr>
              <w:t>[-4.40 -1.87]</w:t>
            </w:r>
          </w:p>
        </w:tc>
      </w:tr>
      <w:tr w:rsidR="000C7638">
        <w:trPr>
          <w:trHeight w:val="191"/>
          <w:jc w:val="center"/>
        </w:trPr>
        <w:tc>
          <w:tcPr>
            <w:tcW w:w="8050" w:type="dxa"/>
            <w:gridSpan w:val="5"/>
            <w:tcBorders>
              <w:top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Number of observations=217  Number of groups=31</w:t>
            </w:r>
          </w:p>
        </w:tc>
      </w:tr>
      <w:tr w:rsidR="000C7638">
        <w:trPr>
          <w:trHeight w:val="191"/>
          <w:jc w:val="center"/>
        </w:trPr>
        <w:tc>
          <w:tcPr>
            <w:tcW w:w="805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overall R</w:t>
            </w:r>
            <w:r w:rsidRPr="009D005E">
              <w:rPr>
                <w:rFonts w:ascii="Times New Roman" w:eastAsia="等线" w:hAnsi="Times New Roman" w:cs="Times New Roman"/>
                <w:color w:val="000000"/>
                <w:kern w:val="0"/>
                <w:vertAlign w:val="superscript"/>
              </w:rPr>
              <w:t>2</w:t>
            </w:r>
            <w:r>
              <w:rPr>
                <w:rFonts w:ascii="Times New Roman" w:eastAsia="等线" w:hAnsi="Times New Roman" w:cs="Times New Roman"/>
                <w:color w:val="000000"/>
                <w:kern w:val="0"/>
              </w:rPr>
              <w:t>=0.72</w:t>
            </w:r>
          </w:p>
        </w:tc>
      </w:tr>
      <w:tr w:rsidR="000C7638">
        <w:trPr>
          <w:trHeight w:val="191"/>
          <w:jc w:val="center"/>
        </w:trPr>
        <w:tc>
          <w:tcPr>
            <w:tcW w:w="8050" w:type="dxa"/>
            <w:gridSpan w:val="5"/>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 xml:space="preserve">F(8, 209)=340.35  Prob &gt; F = 0.000   </w:t>
            </w:r>
          </w:p>
        </w:tc>
      </w:tr>
      <w:tr w:rsidR="000C7638">
        <w:trPr>
          <w:trHeight w:val="191"/>
          <w:jc w:val="center"/>
        </w:trPr>
        <w:tc>
          <w:tcPr>
            <w:tcW w:w="8050" w:type="dxa"/>
            <w:gridSpan w:val="5"/>
            <w:tcBorders>
              <w:bottom w:val="single" w:sz="4" w:space="0" w:color="000000"/>
            </w:tcBorders>
            <w:vAlign w:val="center"/>
          </w:tcPr>
          <w:p w:rsidR="000C7638" w:rsidRDefault="00B90CD0">
            <w:pPr>
              <w:widowControl/>
              <w:spacing w:line="300" w:lineRule="auto"/>
              <w:jc w:val="left"/>
              <w:rPr>
                <w:rFonts w:ascii="Times New Roman" w:eastAsia="等线" w:hAnsi="Times New Roman" w:cs="Times New Roman"/>
                <w:color w:val="000000"/>
                <w:kern w:val="0"/>
              </w:rPr>
            </w:pPr>
            <w:r>
              <w:rPr>
                <w:rFonts w:ascii="Times New Roman" w:eastAsia="等线" w:hAnsi="Times New Roman" w:cs="Times New Roman"/>
                <w:color w:val="000000"/>
                <w:kern w:val="0"/>
              </w:rPr>
              <w:t>Hausman test of rejecting random effects</w:t>
            </w:r>
          </w:p>
        </w:tc>
      </w:tr>
    </w:tbl>
    <w:p w:rsidR="000C7638" w:rsidRDefault="000C7638">
      <w:pPr>
        <w:spacing w:line="300" w:lineRule="auto"/>
        <w:rPr>
          <w:rFonts w:ascii="Times New Roman" w:hAnsi="Times New Roman" w:cs="Times New Roman"/>
        </w:rPr>
      </w:pPr>
    </w:p>
    <w:p w:rsidR="000C7638" w:rsidRDefault="00B90CD0">
      <w:pPr>
        <w:spacing w:line="300" w:lineRule="auto"/>
      </w:pPr>
      <w:r>
        <w:rPr>
          <w:rFonts w:hint="eastAsia"/>
        </w:rPr>
        <w:t xml:space="preserve"> </w:t>
      </w:r>
    </w:p>
    <w:p w:rsidR="000C7638" w:rsidRDefault="000C7638">
      <w:pPr>
        <w:spacing w:line="300" w:lineRule="auto"/>
      </w:pPr>
    </w:p>
    <w:p w:rsidR="00422798" w:rsidRPr="00422798" w:rsidRDefault="00B90CD0" w:rsidP="00422798">
      <w:pPr>
        <w:pStyle w:val="EndNoteBibliography"/>
        <w:ind w:left="720" w:hanging="720"/>
        <w:rPr>
          <w:noProof/>
        </w:rPr>
      </w:pPr>
      <w:r>
        <w:fldChar w:fldCharType="begin"/>
      </w:r>
      <w:r>
        <w:instrText xml:space="preserve"> ADDIN EN.REFLIST </w:instrText>
      </w:r>
      <w:r>
        <w:fldChar w:fldCharType="separate"/>
      </w:r>
      <w:r w:rsidR="00422798" w:rsidRPr="00422798">
        <w:rPr>
          <w:noProof/>
        </w:rPr>
        <w:t xml:space="preserve">Younsi, M., Chakroun, M., &amp; Nafla, A. (2016). Robust analysis of the determinants of healthcare expenditure growth: evidence from panel data for low-, middle- and high-income countries. </w:t>
      </w:r>
      <w:r w:rsidR="00422798" w:rsidRPr="00422798">
        <w:rPr>
          <w:i/>
          <w:noProof/>
        </w:rPr>
        <w:t>Int J Health Plann Manage, 31</w:t>
      </w:r>
      <w:r w:rsidR="00422798" w:rsidRPr="00422798">
        <w:rPr>
          <w:noProof/>
        </w:rPr>
        <w:t>(4), 580-601. doi:10.1002/hpm.2358</w:t>
      </w:r>
    </w:p>
    <w:p w:rsidR="000C7638" w:rsidRDefault="00B90CD0">
      <w:pPr>
        <w:spacing w:line="300" w:lineRule="auto"/>
      </w:pPr>
      <w:r>
        <w:fldChar w:fldCharType="end"/>
      </w:r>
    </w:p>
    <w:sectPr w:rsidR="000C763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5D8F" w:rsidRDefault="00085D8F" w:rsidP="00915F6C">
      <w:r>
        <w:separator/>
      </w:r>
    </w:p>
  </w:endnote>
  <w:endnote w:type="continuationSeparator" w:id="0">
    <w:p w:rsidR="00085D8F" w:rsidRDefault="00085D8F" w:rsidP="00915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5D8F" w:rsidRDefault="00085D8F" w:rsidP="00915F6C">
      <w:r>
        <w:separator/>
      </w:r>
    </w:p>
  </w:footnote>
  <w:footnote w:type="continuationSeparator" w:id="0">
    <w:p w:rsidR="00085D8F" w:rsidRDefault="00085D8F" w:rsidP="00915F6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bordersDoNotSurroundHeader/>
  <w:bordersDoNotSurroundFooter/>
  <w:proofState w:spelling="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we5st9d6095zbezf595frste0efvpf50vez&quot;&gt;health expenditure&lt;record-ids&gt;&lt;item&gt;82&lt;/item&gt;&lt;/record-ids&gt;&lt;/item&gt;&lt;/Libraries&gt;"/>
  </w:docVars>
  <w:rsids>
    <w:rsidRoot w:val="00D13FF8"/>
    <w:rsid w:val="000818D1"/>
    <w:rsid w:val="00085D8F"/>
    <w:rsid w:val="000B1D74"/>
    <w:rsid w:val="000C7638"/>
    <w:rsid w:val="00184CD7"/>
    <w:rsid w:val="00202B27"/>
    <w:rsid w:val="00202C01"/>
    <w:rsid w:val="002F15D4"/>
    <w:rsid w:val="003A066B"/>
    <w:rsid w:val="00422798"/>
    <w:rsid w:val="004810F0"/>
    <w:rsid w:val="00496B5F"/>
    <w:rsid w:val="004C2687"/>
    <w:rsid w:val="004D20E0"/>
    <w:rsid w:val="00502F27"/>
    <w:rsid w:val="005E6C60"/>
    <w:rsid w:val="006155A5"/>
    <w:rsid w:val="006B6F89"/>
    <w:rsid w:val="00721B14"/>
    <w:rsid w:val="0074605B"/>
    <w:rsid w:val="007D589D"/>
    <w:rsid w:val="008417DD"/>
    <w:rsid w:val="00877648"/>
    <w:rsid w:val="00915F6C"/>
    <w:rsid w:val="00923DC8"/>
    <w:rsid w:val="00957DAA"/>
    <w:rsid w:val="009665A5"/>
    <w:rsid w:val="00987D36"/>
    <w:rsid w:val="00990FA2"/>
    <w:rsid w:val="00997E21"/>
    <w:rsid w:val="009C3B56"/>
    <w:rsid w:val="009C4D75"/>
    <w:rsid w:val="009D005E"/>
    <w:rsid w:val="009D4E7F"/>
    <w:rsid w:val="009E6139"/>
    <w:rsid w:val="00A30CFF"/>
    <w:rsid w:val="00A41050"/>
    <w:rsid w:val="00A41B4C"/>
    <w:rsid w:val="00A85F06"/>
    <w:rsid w:val="00A91B44"/>
    <w:rsid w:val="00AF7A13"/>
    <w:rsid w:val="00B17C87"/>
    <w:rsid w:val="00B46E41"/>
    <w:rsid w:val="00B90CD0"/>
    <w:rsid w:val="00BA07B7"/>
    <w:rsid w:val="00BA4B09"/>
    <w:rsid w:val="00BA5AAB"/>
    <w:rsid w:val="00C548A6"/>
    <w:rsid w:val="00D13FF8"/>
    <w:rsid w:val="00E16AFE"/>
    <w:rsid w:val="00E43921"/>
    <w:rsid w:val="00EC7A1C"/>
    <w:rsid w:val="00F30B09"/>
    <w:rsid w:val="00FD6CAB"/>
    <w:rsid w:val="32FE41A9"/>
    <w:rsid w:val="582906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7BF33F"/>
  <w15:docId w15:val="{174EE437-32E5-4FF4-9B56-447E73FE6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iPriority w:val="99"/>
    <w:semiHidden/>
    <w:unhideWhenUsed/>
    <w:pPr>
      <w:spacing w:after="120" w:line="480" w:lineRule="auto"/>
      <w:ind w:leftChars="200" w:left="420"/>
    </w:pPr>
  </w:style>
  <w:style w:type="paragraph" w:customStyle="1" w:styleId="a3">
    <w:name w:val="中文论文写作样式"/>
    <w:basedOn w:val="2"/>
    <w:link w:val="a4"/>
    <w:qFormat/>
    <w:rPr>
      <w:kern w:val="44"/>
      <w:sz w:val="44"/>
      <w:szCs w:val="44"/>
    </w:rPr>
  </w:style>
  <w:style w:type="character" w:customStyle="1" w:styleId="a4">
    <w:name w:val="中文论文写作样式 字符"/>
    <w:basedOn w:val="a0"/>
    <w:link w:val="a3"/>
    <w:rPr>
      <w:kern w:val="44"/>
      <w:sz w:val="44"/>
      <w:szCs w:val="44"/>
    </w:rPr>
  </w:style>
  <w:style w:type="character" w:customStyle="1" w:styleId="20">
    <w:name w:val="正文文本缩进 2 字符"/>
    <w:basedOn w:val="a0"/>
    <w:link w:val="2"/>
    <w:uiPriority w:val="99"/>
    <w:semiHidden/>
    <w:qFormat/>
  </w:style>
  <w:style w:type="paragraph" w:customStyle="1" w:styleId="1">
    <w:name w:val="样式1"/>
    <w:basedOn w:val="a"/>
    <w:qFormat/>
    <w:pPr>
      <w:widowControl/>
      <w:spacing w:line="300" w:lineRule="auto"/>
      <w:jc w:val="center"/>
    </w:pPr>
    <w:rPr>
      <w:rFonts w:ascii="Times New Roman" w:eastAsia="宋体" w:hAnsi="Times New Roman" w:cs="Times New Roman"/>
      <w:b/>
      <w:kern w:val="0"/>
      <w:sz w:val="24"/>
      <w:szCs w:val="32"/>
    </w:rPr>
  </w:style>
  <w:style w:type="paragraph" w:customStyle="1" w:styleId="EndNoteBibliographyTitle">
    <w:name w:val="EndNote Bibliography Title"/>
    <w:basedOn w:val="a"/>
    <w:link w:val="EndNoteBibliographyTitle0"/>
    <w:pPr>
      <w:jc w:val="center"/>
    </w:pPr>
    <w:rPr>
      <w:rFonts w:ascii="等线" w:eastAsia="等线" w:hAnsi="等线"/>
      <w:sz w:val="20"/>
    </w:rPr>
  </w:style>
  <w:style w:type="character" w:customStyle="1" w:styleId="EndNoteBibliographyTitle0">
    <w:name w:val="EndNote Bibliography Title 字符"/>
    <w:basedOn w:val="a0"/>
    <w:link w:val="EndNoteBibliographyTitle"/>
    <w:rPr>
      <w:rFonts w:ascii="等线" w:eastAsia="等线" w:hAnsi="等线"/>
      <w:kern w:val="2"/>
      <w:szCs w:val="21"/>
    </w:rPr>
  </w:style>
  <w:style w:type="paragraph" w:customStyle="1" w:styleId="EndNoteBibliography">
    <w:name w:val="EndNote Bibliography"/>
    <w:basedOn w:val="a"/>
    <w:link w:val="EndNoteBibliography0"/>
    <w:qFormat/>
    <w:rPr>
      <w:rFonts w:ascii="等线" w:eastAsia="等线" w:hAnsi="等线"/>
      <w:sz w:val="20"/>
    </w:rPr>
  </w:style>
  <w:style w:type="character" w:customStyle="1" w:styleId="EndNoteBibliography0">
    <w:name w:val="EndNote Bibliography 字符"/>
    <w:basedOn w:val="a0"/>
    <w:link w:val="EndNoteBibliography"/>
    <w:qFormat/>
    <w:rPr>
      <w:rFonts w:ascii="等线" w:eastAsia="等线" w:hAnsi="等线"/>
      <w:kern w:val="2"/>
      <w:szCs w:val="21"/>
    </w:rPr>
  </w:style>
  <w:style w:type="paragraph" w:styleId="a5">
    <w:name w:val="header"/>
    <w:basedOn w:val="a"/>
    <w:link w:val="a6"/>
    <w:uiPriority w:val="99"/>
    <w:unhideWhenUsed/>
    <w:rsid w:val="00915F6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15F6C"/>
    <w:rPr>
      <w:kern w:val="2"/>
      <w:sz w:val="18"/>
      <w:szCs w:val="18"/>
    </w:rPr>
  </w:style>
  <w:style w:type="paragraph" w:styleId="a7">
    <w:name w:val="footer"/>
    <w:basedOn w:val="a"/>
    <w:link w:val="a8"/>
    <w:uiPriority w:val="99"/>
    <w:unhideWhenUsed/>
    <w:rsid w:val="00915F6C"/>
    <w:pPr>
      <w:tabs>
        <w:tab w:val="center" w:pos="4153"/>
        <w:tab w:val="right" w:pos="8306"/>
      </w:tabs>
      <w:snapToGrid w:val="0"/>
      <w:jc w:val="left"/>
    </w:pPr>
    <w:rPr>
      <w:sz w:val="18"/>
      <w:szCs w:val="18"/>
    </w:rPr>
  </w:style>
  <w:style w:type="character" w:customStyle="1" w:styleId="a8">
    <w:name w:val="页脚 字符"/>
    <w:basedOn w:val="a0"/>
    <w:link w:val="a7"/>
    <w:uiPriority w:val="99"/>
    <w:rsid w:val="00915F6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696</Words>
  <Characters>3972</Characters>
  <Application>Microsoft Office Word</Application>
  <DocSecurity>0</DocSecurity>
  <Lines>33</Lines>
  <Paragraphs>9</Paragraphs>
  <ScaleCrop>false</ScaleCrop>
  <Company/>
  <LinksUpToDate>false</LinksUpToDate>
  <CharactersWithSpaces>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积菲 侯</dc:creator>
  <cp:lastModifiedBy>积菲 侯</cp:lastModifiedBy>
  <cp:revision>40</cp:revision>
  <dcterms:created xsi:type="dcterms:W3CDTF">2019-09-14T07:43:00Z</dcterms:created>
  <dcterms:modified xsi:type="dcterms:W3CDTF">2020-02-17T03:36:00Z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